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CB0BD7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272 CENTRUM – ředitelství, jídelny</w:t>
      </w:r>
    </w:p>
    <w:p w:rsidR="007223D2" w:rsidRPr="00F821ED" w:rsidRDefault="00CB0BD7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Náměstí Svobody 272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5B757B" w:rsidRPr="00CB0BD7" w:rsidRDefault="007223D2" w:rsidP="00CB0BD7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Parkoviště pro klienty lázní je ve vzdálenosti cca 150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CB0BD7">
        <w:rPr>
          <w:rFonts w:cs="Arial"/>
        </w:rPr>
        <w:t>: NE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městských komunikací. Na trase je výškový rozdíl cca 25 m. Budova je ve vzdálenosti cca 100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6A07B6" w:rsidRPr="005B757B">
        <w:rPr>
          <w:rFonts w:cs="Arial"/>
          <w:b/>
        </w:rPr>
        <w:t xml:space="preserve">lázeňského </w:t>
      </w:r>
      <w:r w:rsidR="00CB0BD7">
        <w:rPr>
          <w:rFonts w:cs="Arial"/>
          <w:b/>
        </w:rPr>
        <w:t xml:space="preserve">ředitelství a jídelen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CB0BD7">
        <w:rPr>
          <w:rFonts w:cs="Arial"/>
          <w:b/>
        </w:rPr>
        <w:t>chodníku 1 vstupem</w:t>
      </w:r>
      <w:r w:rsidR="006A07B6" w:rsidRPr="005B757B">
        <w:rPr>
          <w:rFonts w:cs="Arial"/>
          <w:b/>
        </w:rPr>
        <w:t>, bezbariérový</w:t>
      </w:r>
      <w:r w:rsidR="00CB0BD7">
        <w:rPr>
          <w:rFonts w:cs="Arial"/>
          <w:b/>
        </w:rPr>
        <w:t>m</w:t>
      </w:r>
      <w:r w:rsidRPr="005B757B">
        <w:rPr>
          <w:rFonts w:cs="Arial"/>
          <w:b/>
        </w:rPr>
        <w:t>. Hlavní vstup je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náměstí v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pravé části objektu.</w:t>
      </w:r>
      <w:r w:rsidR="00CB0BD7">
        <w:rPr>
          <w:rFonts w:cs="Arial"/>
          <w:b/>
        </w:rPr>
        <w:t xml:space="preserve"> Vstup je bezbariérový osazený</w:t>
      </w:r>
      <w:r w:rsidRPr="005B757B">
        <w:rPr>
          <w:rFonts w:cs="Arial"/>
          <w:b/>
        </w:rPr>
        <w:t xml:space="preserve"> automatickými </w:t>
      </w:r>
      <w:r w:rsidR="006A07B6" w:rsidRPr="005B757B">
        <w:rPr>
          <w:rFonts w:cs="Arial"/>
          <w:b/>
        </w:rPr>
        <w:t xml:space="preserve">posuvnými </w:t>
      </w:r>
      <w:r w:rsidRPr="005B757B">
        <w:rPr>
          <w:rFonts w:cs="Arial"/>
          <w:b/>
        </w:rPr>
        <w:t>dvoukřídlovými dveřmi š. 120 cm</w:t>
      </w:r>
      <w:r w:rsidR="006A07B6" w:rsidRPr="005B757B">
        <w:rPr>
          <w:rFonts w:cs="Arial"/>
          <w:b/>
        </w:rPr>
        <w:t>.</w:t>
      </w:r>
      <w:r w:rsidR="005B757B">
        <w:rPr>
          <w:rFonts w:cs="Arial"/>
          <w:b/>
        </w:rPr>
        <w:t xml:space="preserve"> Budova nemá recepci ani možnost přivolání obsluhy či interkom. Hlavní rec</w:t>
      </w:r>
      <w:r w:rsidR="00CB0BD7">
        <w:rPr>
          <w:rFonts w:cs="Arial"/>
          <w:b/>
        </w:rPr>
        <w:t>ep</w:t>
      </w:r>
      <w:r w:rsidR="005B757B">
        <w:rPr>
          <w:rFonts w:cs="Arial"/>
          <w:b/>
        </w:rPr>
        <w:t>ce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6E2BEE">
        <w:rPr>
          <w:rFonts w:cs="Arial"/>
        </w:rPr>
        <w:t>: NE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CB0BD7">
        <w:rPr>
          <w:rFonts w:cs="Arial"/>
        </w:rPr>
        <w:t>NE</w:t>
      </w:r>
    </w:p>
    <w:p w:rsidR="007223D2" w:rsidRDefault="007223D2" w:rsidP="007223D2">
      <w:pPr>
        <w:pStyle w:val="Nadpis3"/>
      </w:pPr>
      <w:r>
        <w:lastRenderedPageBreak/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59394D" w:rsidP="007223D2">
      <w:pPr>
        <w:jc w:val="both"/>
        <w:rPr>
          <w:rFonts w:cs="Arial"/>
          <w:b/>
        </w:rPr>
      </w:pPr>
      <w:r w:rsidRPr="0059394D">
        <w:rPr>
          <w:rFonts w:cs="Arial"/>
          <w:b/>
        </w:rPr>
        <w:t xml:space="preserve">Budova má 3.NP – </w:t>
      </w:r>
      <w:r w:rsidR="00CB0BD7">
        <w:rPr>
          <w:rFonts w:cs="Arial"/>
          <w:b/>
        </w:rPr>
        <w:t xml:space="preserve">v 1. PP se nachází stravovací provoz – přípravny, sklady, </w:t>
      </w:r>
      <w:r w:rsidRPr="0059394D">
        <w:rPr>
          <w:rFonts w:cs="Arial"/>
          <w:b/>
        </w:rPr>
        <w:t>v 1.NP (přízemí)</w:t>
      </w:r>
      <w:r w:rsidR="009504DA">
        <w:rPr>
          <w:rFonts w:cs="Arial"/>
          <w:b/>
        </w:rPr>
        <w:t xml:space="preserve"> se nacházejí</w:t>
      </w:r>
      <w:r w:rsidRPr="0059394D">
        <w:rPr>
          <w:rFonts w:cs="Arial"/>
          <w:b/>
        </w:rPr>
        <w:t xml:space="preserve"> </w:t>
      </w:r>
      <w:r w:rsidR="00CB0BD7">
        <w:rPr>
          <w:rFonts w:cs="Arial"/>
          <w:b/>
        </w:rPr>
        <w:t>jídelny, odpočinkové prostory, přístup</w:t>
      </w:r>
      <w:r w:rsidRPr="0059394D">
        <w:rPr>
          <w:rFonts w:cs="Arial"/>
          <w:b/>
        </w:rPr>
        <w:t xml:space="preserve"> </w:t>
      </w:r>
      <w:r w:rsidR="00CB0BD7">
        <w:rPr>
          <w:rFonts w:cs="Arial"/>
          <w:b/>
        </w:rPr>
        <w:t>k výtahu; ve 2.NP se nachází kanceláře ředitelství lázní</w:t>
      </w:r>
      <w:r w:rsidRPr="0059394D">
        <w:rPr>
          <w:rFonts w:cs="Arial"/>
          <w:b/>
        </w:rPr>
        <w:t>. Všechna tři</w:t>
      </w:r>
      <w:r w:rsidR="00CB0BD7">
        <w:rPr>
          <w:rFonts w:cs="Arial"/>
          <w:b/>
        </w:rPr>
        <w:t xml:space="preserve"> podlaží jsou propojena výtahem pro imobilní</w:t>
      </w:r>
      <w:r w:rsidRPr="0059394D">
        <w:rPr>
          <w:rFonts w:cs="Arial"/>
          <w:b/>
        </w:rPr>
        <w:t>.</w:t>
      </w:r>
      <w:r w:rsidR="0098148F">
        <w:rPr>
          <w:rFonts w:cs="Arial"/>
          <w:b/>
        </w:rPr>
        <w:t xml:space="preserve"> Zároveň jsou všechna podlaží propojena dvěma schodišti.</w:t>
      </w:r>
      <w:r w:rsidR="000C4818">
        <w:rPr>
          <w:rFonts w:cs="Arial"/>
          <w:b/>
        </w:rPr>
        <w:t xml:space="preserve"> Vstup do ředitelství je uzavřen přepážkou s interkomem pro přivolání obsluhy.</w:t>
      </w:r>
    </w:p>
    <w:p w:rsidR="007223D2" w:rsidRDefault="00C57531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3.podlaží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2A5ADC" w:rsidP="007223D2">
      <w:pPr>
        <w:spacing w:after="240"/>
        <w:jc w:val="both"/>
        <w:rPr>
          <w:rFonts w:cs="Arial"/>
        </w:rPr>
      </w:pPr>
      <w:r w:rsidRPr="0059394D">
        <w:rPr>
          <w:rFonts w:cs="Arial"/>
          <w:b/>
        </w:rPr>
        <w:t>Všechna tři podlaží jsou propojen</w:t>
      </w:r>
      <w:r w:rsidR="00CB0BD7">
        <w:rPr>
          <w:rFonts w:cs="Arial"/>
          <w:b/>
        </w:rPr>
        <w:t>a výtahem</w:t>
      </w:r>
      <w:r w:rsidRPr="0059394D">
        <w:rPr>
          <w:rFonts w:cs="Arial"/>
          <w:b/>
        </w:rPr>
        <w:t>.</w:t>
      </w:r>
      <w:r>
        <w:rPr>
          <w:rFonts w:cs="Arial"/>
          <w:b/>
        </w:rPr>
        <w:t xml:space="preserve"> Zároveň jsou všechna podlaží propojena dvěma schodišti. Manipulační prostory před výtahy jsou dostatečné. Výtahy mají automatické vstupní dveře š. &gt;80 cm.</w:t>
      </w:r>
      <w:r w:rsidR="00CB0BD7">
        <w:rPr>
          <w:rFonts w:cs="Arial"/>
          <w:b/>
        </w:rPr>
        <w:t xml:space="preserve"> Výtah má</w:t>
      </w:r>
      <w:r>
        <w:rPr>
          <w:rFonts w:cs="Arial"/>
          <w:b/>
        </w:rPr>
        <w:t xml:space="preserve"> optické a akustické hlášení. Tlačítka i přivolávací jsou označena Braillovým písmem.</w:t>
      </w:r>
      <w:r w:rsidR="007E45C9">
        <w:rPr>
          <w:rFonts w:cs="Arial"/>
          <w:b/>
        </w:rPr>
        <w:t xml:space="preserve"> V kabinách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pojující všechna podlaží: 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</w:t>
      </w:r>
      <w:r w:rsidR="00B01409">
        <w:rPr>
          <w:rFonts w:cs="Arial"/>
          <w:b/>
        </w:rPr>
        <w:t xml:space="preserve"> Vstupy do jídelen v 1.NP jsou s automatickými dvoukřídlovými dveřmi š. 120 cm.</w:t>
      </w:r>
      <w:r w:rsidR="008C479B" w:rsidRPr="008C479B">
        <w:rPr>
          <w:rFonts w:cs="Arial"/>
          <w:b/>
        </w:rPr>
        <w:t xml:space="preserve"> Ovládací prvky výtahů jsou ve výšce 110 cm od podlahy. Celou budovou prochází na všech třech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>. V 1.NP je společný odpočinkový prostor s bufetem.</w:t>
      </w:r>
    </w:p>
    <w:p w:rsidR="002A5ADC" w:rsidRPr="008C479B" w:rsidRDefault="00B01409" w:rsidP="007223D2">
      <w:pPr>
        <w:jc w:val="both"/>
        <w:rPr>
          <w:rFonts w:cs="Arial"/>
          <w:b/>
        </w:rPr>
      </w:pPr>
      <w:r>
        <w:rPr>
          <w:rFonts w:cs="Arial"/>
          <w:b/>
        </w:rPr>
        <w:t xml:space="preserve">Na 1. a 2. NP </w:t>
      </w:r>
      <w:r w:rsidR="002A5ADC">
        <w:rPr>
          <w:rFonts w:cs="Arial"/>
          <w:b/>
        </w:rPr>
        <w:t>se nachází WC pro imobilní. Každé WC pro imobilní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B01409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F51B07">
        <w:rPr>
          <w:rFonts w:cs="Arial"/>
        </w:rPr>
        <w:t xml:space="preserve"> toaleta: ANO</w:t>
      </w:r>
      <w:r w:rsidRPr="00D321C6">
        <w:rPr>
          <w:rFonts w:cs="Arial"/>
        </w:rPr>
        <w:t xml:space="preserve"> </w:t>
      </w:r>
      <w:r w:rsidR="00B01409">
        <w:rPr>
          <w:rFonts w:cs="Arial"/>
        </w:rPr>
        <w:t xml:space="preserve">v 1. a 2.NP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F51B07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ANO</w:t>
      </w:r>
      <w:r w:rsidR="007223D2" w:rsidRPr="00B93203">
        <w:rPr>
          <w:rFonts w:cs="Arial"/>
        </w:rPr>
        <w:t xml:space="preserve"> </w:t>
      </w:r>
      <w:r w:rsidR="00B01409">
        <w:rPr>
          <w:rFonts w:cs="Arial"/>
        </w:rPr>
        <w:t xml:space="preserve">otevřená v době provozu 7:00 – 18:00 h v 1.NP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>
        <w:rPr>
          <w:rFonts w:cs="Arial"/>
          <w:i/>
        </w:rPr>
        <w:t xml:space="preserve">  přístupné</w:t>
      </w:r>
      <w:proofErr w:type="gramEnd"/>
      <w:r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51B07">
        <w:rPr>
          <w:rFonts w:cs="Arial"/>
        </w:rPr>
        <w:t xml:space="preserve"> nápisem, příp. symbolem: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51B07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51B07">
        <w:rPr>
          <w:rFonts w:cs="Arial"/>
        </w:rPr>
        <w:t>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</w:t>
      </w:r>
      <w:bookmarkStart w:id="5" w:name="_GoBack"/>
      <w:bookmarkEnd w:id="5"/>
      <w:r w:rsidRPr="003840E1">
        <w:rPr>
          <w:rFonts w:cs="Arial"/>
          <w:i/>
        </w:rPr>
        <w:t>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 w:rsidRPr="00686E5C">
        <w:rPr>
          <w:rFonts w:cs="Arial"/>
        </w:rPr>
        <w:t>/NE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F51B07">
        <w:rPr>
          <w:rFonts w:cs="Arial"/>
        </w:rPr>
        <w:t>adač nouzové signalizace: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B01409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97F1C"/>
    <w:rsid w:val="000C4818"/>
    <w:rsid w:val="002126D1"/>
    <w:rsid w:val="002A5ADC"/>
    <w:rsid w:val="0059394D"/>
    <w:rsid w:val="005B757B"/>
    <w:rsid w:val="00685E15"/>
    <w:rsid w:val="006A07B6"/>
    <w:rsid w:val="006E2BEE"/>
    <w:rsid w:val="007223D2"/>
    <w:rsid w:val="007E45C9"/>
    <w:rsid w:val="00885DD7"/>
    <w:rsid w:val="008C479B"/>
    <w:rsid w:val="009504DA"/>
    <w:rsid w:val="0098148F"/>
    <w:rsid w:val="009D4962"/>
    <w:rsid w:val="00AB480F"/>
    <w:rsid w:val="00B01409"/>
    <w:rsid w:val="00C57531"/>
    <w:rsid w:val="00CB0BD7"/>
    <w:rsid w:val="00CD741B"/>
    <w:rsid w:val="00DC0933"/>
    <w:rsid w:val="00E4607F"/>
    <w:rsid w:val="00F51B0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1408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15</cp:revision>
  <dcterms:created xsi:type="dcterms:W3CDTF">2023-05-30T23:29:00Z</dcterms:created>
  <dcterms:modified xsi:type="dcterms:W3CDTF">2024-03-06T07:41:00Z</dcterms:modified>
</cp:coreProperties>
</file>